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6B1BB35"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0FC7A9F"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Although historically present in certain subdisciplines, forecasting is rapidly becoming an important becoming a focus of ecological science in both applied and fundamental settings (Clark et al. 2001, Pennekamp et al. 2017, Dietze et al. 2018). In order to adequately represent the inherent uncertainty associated with model fitting, the natural variability of ecosystems, and the consequences for decision making, ecological forecasts must be probabilistic (Dawid 1984, Williams and Hooten 2016, Dietze et al. 2018). This uncertainty occurs at two fundamental levels: uncertainty in the values forecasted by a given model and uncertainty among models as to how well they represent the true, unobservable distribution (Hooten and Hobbs 2015, Krushke 2015). Accordingly, ecologists are beginning to produce forecasts as distributions that include within- and among-model uncertainty (Dietz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Dietze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Gneiting and Raftery 2007), they cannot distinguish among forecasts with the same central tendencies but different variances (Gneiting et al. 2007, Czado et al. 2009), and their use can lead to “grossly misguided inferences” in certain situations (Gneiting 2011). </w:t>
      </w:r>
    </w:p>
    <w:p w14:paraId="24082269" w14:textId="50A120B4"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epidemiology, statistical forecasters have developed a set of philosophical principles and tools for evaluating probabilistic forecasts produced by competing models (Winkler 1977, Dawid 1984, Gneiting and Raftery 2007, Ray and Reich 2018). Our goal with the present manuscript is therefore to support the use of probabilistic forecasts in ecology by bringing this set of tools to bear in an ecological setting. Embracing the variety of ecological variables that could be forecast (Dietz 2018)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330E785"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Dietz 2018).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Following standard terminology (c.f., e.g., Tashman 2000), the last datum in the 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lastRenderedPageBreak/>
        <w:t xml:space="preserve">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Dawid 1984, Dietze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(Makridakis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r w:rsidR="00BA4F4D" w:rsidRPr="00E62D07">
        <w:rPr>
          <w:rFonts w:ascii="Times New Roman" w:eastAsia="Times New Roman" w:hAnsi="Times New Roman" w:cs="Times New Roman"/>
          <w:color w:val="000000"/>
          <w:sz w:val="24"/>
          <w:szCs w:val="24"/>
        </w:rPr>
        <w:t>Tashman 2000</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Dawid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 xml:space="preserve">Fildes and </w:t>
      </w:r>
      <w:r w:rsidR="00E62D07" w:rsidRPr="00E62D07">
        <w:rPr>
          <w:rFonts w:ascii="Times New Roman" w:eastAsia="Times New Roman" w:hAnsi="Times New Roman" w:cs="Times New Roman"/>
          <w:color w:val="000000"/>
          <w:sz w:val="24"/>
          <w:szCs w:val="24"/>
        </w:rPr>
        <w:lastRenderedPageBreak/>
        <w:t>Makridakis 1995 and references therein, Tashman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(Tashman 2000). Further, within-model (training) errors are often only very weakly correlated with outside-model (test) errors (Makridakis 1986, Makridakis and Winkler 1989, Pant and Starbuck 1990, Hastie et al. 2011), indicating that models being used to forecast will perform better on novel data when they have been validated via end-sample holdout methods than cross-validation methods (Fildes and Makridakis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(Bergmeir and Benitez 2012, Bergmeir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(Tashman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(Arlot and Celisse 2010, Bergmeir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(Dawid 1984) as is the goal (Dietze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w:t>
      </w:r>
      <w:r w:rsidRPr="00E62D07">
        <w:rPr>
          <w:rFonts w:ascii="Times New Roman" w:eastAsia="Times New Roman" w:hAnsi="Times New Roman" w:cs="Times New Roman"/>
          <w:color w:val="000000"/>
          <w:sz w:val="24"/>
          <w:szCs w:val="24"/>
        </w:rPr>
        <w:lastRenderedPageBreak/>
        <w:t xml:space="preserve">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xml:space="preserve">) (Dawid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 xml:space="preserve">as the longest forecast horizon required by the main application (Tashman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(Pack 1990, Fildes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(Makridakis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(Tashman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(Tashman 2000). Although it is arguably preferable to update the model fit with each step forward in the evaluation, re-</w:t>
      </w:r>
      <w:r w:rsidRPr="00E62D07">
        <w:rPr>
          <w:rFonts w:ascii="Times New Roman" w:eastAsia="Times New Roman" w:hAnsi="Times New Roman" w:cs="Times New Roman"/>
          <w:color w:val="000000"/>
          <w:sz w:val="24"/>
          <w:szCs w:val="24"/>
        </w:rPr>
        <w:lastRenderedPageBreak/>
        <w:t>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(Tashman 2000, Tashman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(Tashman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context of iterative forecasting within the prequential framework (Dawid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6DD883E9"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(Dietze 2018).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 xml:space="preserve">ecological models encompass multiple levels of </w:t>
      </w:r>
      <w:r w:rsidR="0089528F">
        <w:rPr>
          <w:rFonts w:ascii="Times New Roman" w:eastAsia="Times New Roman" w:hAnsi="Times New Roman" w:cs="Times New Roman"/>
          <w:color w:val="000000"/>
          <w:sz w:val="24"/>
          <w:szCs w:val="24"/>
        </w:rPr>
        <w:lastRenderedPageBreak/>
        <w:t>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r w:rsidRPr="00E62D07">
        <w:rPr>
          <w:rFonts w:ascii="Times New Roman" w:eastAsia="Times New Roman" w:hAnsi="Times New Roman" w:cs="Times New Roman"/>
          <w:color w:val="000000"/>
          <w:sz w:val="24"/>
          <w:szCs w:val="24"/>
        </w:rPr>
        <w:t>Dawid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a standard uniform distribution (Dawid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r w:rsidRPr="00E62D07">
        <w:rPr>
          <w:rFonts w:ascii="Times New Roman" w:eastAsia="Times New Roman" w:hAnsi="Times New Roman" w:cs="Times New Roman"/>
          <w:color w:val="000000"/>
          <w:sz w:val="24"/>
          <w:szCs w:val="24"/>
        </w:rPr>
        <w:t xml:space="preserve">Gneiting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skewed histograms indicate bias in the central tendencies, U-shaped histograms indicate undispersed predictive distributions, and hump-shaped histograms indicate overdispersed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r w:rsidR="00962720" w:rsidRPr="00E62D07">
        <w:rPr>
          <w:rFonts w:ascii="Times New Roman" w:eastAsia="Times New Roman" w:hAnsi="Times New Roman" w:cs="Times New Roman"/>
          <w:color w:val="000000"/>
          <w:sz w:val="24"/>
          <w:szCs w:val="24"/>
        </w:rPr>
        <w:t>Gneiting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 xml:space="preserve">was originally designed for use with continuous variables and the uniformity expectation does not hold for discrete-valued variables (Czado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Fruhwirth-Schnatter 1996, Lisenfeld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which is then </w:t>
      </w:r>
      <w:r w:rsidRPr="00E62D07">
        <w:rPr>
          <w:rFonts w:ascii="Times New Roman" w:eastAsia="Times New Roman" w:hAnsi="Times New Roman" w:cs="Times New Roman"/>
          <w:color w:val="000000"/>
          <w:sz w:val="24"/>
          <w:szCs w:val="24"/>
        </w:rPr>
        <w:lastRenderedPageBreak/>
        <w:t>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r w:rsidRPr="00E62D07">
        <w:rPr>
          <w:rFonts w:ascii="Times New Roman" w:eastAsia="Times New Roman" w:hAnsi="Times New Roman" w:cs="Times New Roman"/>
          <w:color w:val="000000"/>
          <w:sz w:val="24"/>
          <w:szCs w:val="24"/>
        </w:rPr>
        <w:t xml:space="preserve">Czado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Finetti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(Winkler 1977, Dawid 1998, Gneiting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w:t>
      </w:r>
      <w:r>
        <w:rPr>
          <w:rFonts w:ascii="Times New Roman" w:eastAsia="Times New Roman" w:hAnsi="Times New Roman" w:cs="Times New Roman"/>
          <w:color w:val="000000"/>
          <w:sz w:val="24"/>
          <w:szCs w:val="24"/>
        </w:rPr>
        <w:lastRenderedPageBreak/>
        <w:t xml:space="preserve">unique solutions </w:t>
      </w:r>
      <w:r w:rsidRPr="00E62D07">
        <w:rPr>
          <w:rFonts w:ascii="Times New Roman" w:eastAsia="Times New Roman" w:hAnsi="Times New Roman" w:cs="Times New Roman"/>
          <w:color w:val="000000"/>
          <w:sz w:val="24"/>
          <w:szCs w:val="24"/>
        </w:rPr>
        <w:t>(de Finetti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(Gneiting and Raftery 2007, Czado et al. 2009). </w:t>
      </w:r>
      <w:r w:rsidRPr="00E62D07">
        <w:rPr>
          <w:rFonts w:ascii="Times New Roman" w:eastAsia="Times New Roman" w:hAnsi="Times New Roman" w:cs="Times New Roman"/>
          <w:color w:val="000000"/>
          <w:sz w:val="24"/>
          <w:szCs w:val="24"/>
        </w:rPr>
        <w:t xml:space="preserve">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(Czado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corresponds to a number of classic properties including Shannon entropy, Kullback-Leibler divergence, and predictive deviance (Gneiting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(Gneiting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Despite its simplicity and popularity, the log score has its faults (Gneiting and Raftery 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w:t>
      </w:r>
      <w:r w:rsidRPr="00E62D07">
        <w:rPr>
          <w:rFonts w:ascii="Times New Roman" w:eastAsia="Times New Roman" w:hAnsi="Times New Roman" w:cs="Times New Roman"/>
          <w:color w:val="000000"/>
          <w:sz w:val="24"/>
          <w:szCs w:val="24"/>
        </w:rPr>
        <w:lastRenderedPageBreak/>
        <w:t xml:space="preserve">differences in small probabilities and can therefore produce unacceptable values) in other conditions (Selten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Wecker 1989, Selten 1998, Gneiting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(Selten 1998, Dawid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sensu</w:t>
      </w:r>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Good 1971, Dawid 2006, Gneiting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w:t>
      </w:r>
      <w:r w:rsidRPr="00E62D07">
        <w:rPr>
          <w:rFonts w:ascii="Times New Roman" w:eastAsia="Times New Roman" w:hAnsi="Times New Roman" w:cs="Times New Roman"/>
          <w:color w:val="000000"/>
          <w:sz w:val="24"/>
          <w:szCs w:val="24"/>
        </w:rPr>
        <w:lastRenderedPageBreak/>
        <w:t xml:space="preserve">of scoring rules (e.g., Gneiting and Raftery 2007, Czado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(Selten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(Czado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RPS can be expanded to continuous variables, at which point it is often referred to as the Continuous Ranked Probability Score or CRPS (Matheson and Winkler 1976, Hersbac</w:t>
      </w:r>
      <w:r w:rsidR="003958E6">
        <w:rPr>
          <w:rFonts w:ascii="Times New Roman" w:eastAsia="Times New Roman" w:hAnsi="Times New Roman" w:cs="Times New Roman"/>
          <w:color w:val="000000"/>
          <w:sz w:val="24"/>
          <w:szCs w:val="24"/>
        </w:rPr>
        <w:t>h</w:t>
      </w:r>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Dawid 2006, Gneiting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(Krüger et al. 2019), but recent work (Gneiting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Gneiting and Raftery 2007</w:t>
      </w:r>
      <w:r w:rsidR="00BD1832">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(Hersbach 2000, Gneiting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generalizes the mean absolute error, which it reduces to if the forecast is a point measure, providing a metric to compare deterministic and probabilistic forecasts (Gneiting and Raftery 2007). As such, it has been successfully applied in many forecasting contexts (Gneiting et al. 2005, Velaquez et al. 2010, Sigrist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w:t>
      </w:r>
      <w:r w:rsidRPr="00E62D07">
        <w:rPr>
          <w:rFonts w:ascii="Times New Roman" w:eastAsia="Times New Roman" w:hAnsi="Times New Roman" w:cs="Times New Roman"/>
          <w:color w:val="000000"/>
          <w:sz w:val="24"/>
          <w:szCs w:val="24"/>
        </w:rPr>
        <w:lastRenderedPageBreak/>
        <w:t xml:space="preserve">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Candille and Talagrand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Gneiting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(Gneiting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(Dawid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w:t>
      </w:r>
      <w:r>
        <w:rPr>
          <w:rFonts w:ascii="Times New Roman" w:eastAsia="Times New Roman" w:hAnsi="Times New Roman" w:cs="Times New Roman"/>
          <w:color w:val="000000"/>
          <w:sz w:val="24"/>
          <w:szCs w:val="24"/>
        </w:rPr>
        <w:lastRenderedPageBreak/>
        <w:t>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(Gneiting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Ruppert 2005, </w:t>
      </w:r>
      <w:r w:rsidR="00F5517D">
        <w:rPr>
          <w:rFonts w:ascii="Times New Roman" w:eastAsia="Times New Roman" w:hAnsi="Times New Roman" w:cs="Times New Roman"/>
          <w:color w:val="000000"/>
          <w:sz w:val="24"/>
          <w:szCs w:val="24"/>
        </w:rPr>
        <w:t>Gneiting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Gneiting and Katzfuss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6AA04E5D"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providing a coherent forecast while embracing model uncertainty</w:t>
      </w:r>
      <w:r w:rsidR="00712FC5">
        <w:rPr>
          <w:rFonts w:ascii="Times New Roman" w:eastAsia="Times New Roman" w:hAnsi="Times New Roman" w:cs="Times New Roman"/>
          <w:sz w:val="24"/>
          <w:szCs w:val="24"/>
        </w:rPr>
        <w:t xml:space="preserve"> (</w:t>
      </w:r>
      <w:r w:rsidR="006B3AB3">
        <w:rPr>
          <w:rFonts w:ascii="Times New Roman" w:eastAsia="Times New Roman" w:hAnsi="Times New Roman" w:cs="Times New Roman"/>
          <w:sz w:val="24"/>
          <w:szCs w:val="24"/>
        </w:rPr>
        <w:t xml:space="preserve">Gneiting and Raftery 2005, </w:t>
      </w:r>
      <w:r w:rsidR="00712FC5">
        <w:rPr>
          <w:rFonts w:ascii="Times New Roman" w:eastAsia="Times New Roman" w:hAnsi="Times New Roman" w:cs="Times New Roman"/>
          <w:sz w:val="24"/>
          <w:szCs w:val="24"/>
        </w:rPr>
        <w:t xml:space="preserve">Dietz 2018, Dietze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(Dormann et al. 2018)</w:t>
      </w:r>
      <w:r w:rsidR="00712FC5">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lastRenderedPageBreak/>
        <w:t xml:space="preserve">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t xml:space="preserve">Gneiting and Katzfuss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r w:rsidR="00781944">
        <w:rPr>
          <w:rFonts w:ascii="Times New Roman" w:eastAsia="Times New Roman" w:hAnsi="Times New Roman" w:cs="Times New Roman"/>
          <w:sz w:val="24"/>
          <w:szCs w:val="24"/>
        </w:rPr>
        <w:t xml:space="preserve">Gneiting et al. 2005, </w:t>
      </w:r>
      <w:r w:rsidR="00A376D3">
        <w:rPr>
          <w:rFonts w:ascii="Times New Roman" w:eastAsia="Times New Roman" w:hAnsi="Times New Roman" w:cs="Times New Roman"/>
          <w:sz w:val="24"/>
          <w:szCs w:val="24"/>
        </w:rPr>
        <w:t>Tebaldi and Knutti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Gneiting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w:t>
      </w:r>
      <w:r>
        <w:rPr>
          <w:rFonts w:ascii="Times New Roman" w:eastAsia="Times New Roman" w:hAnsi="Times New Roman" w:cs="Times New Roman"/>
          <w:color w:val="000000"/>
          <w:sz w:val="24"/>
          <w:szCs w:val="24"/>
        </w:rPr>
        <w:lastRenderedPageBreak/>
        <w:t>1995, Hoeting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lastRenderedPageBreak/>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Wolpert 1992, Breiman 1996, Clarke 2003</w:t>
      </w:r>
      <w:r w:rsidR="005129C4">
        <w:rPr>
          <w:rFonts w:ascii="Times New Roman" w:eastAsia="Times New Roman" w:hAnsi="Times New Roman" w:cs="Times New Roman"/>
          <w:sz w:val="24"/>
          <w:szCs w:val="24"/>
        </w:rPr>
        <w:t>, Gneiting and Katzfuss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(Gneiting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 xml:space="preserve">(Gneiting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Gneiting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(Dormann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Clarke 2003, Gneiting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t>
      </w:r>
      <w:r>
        <w:rPr>
          <w:rFonts w:ascii="Times New Roman" w:eastAsia="Times New Roman" w:hAnsi="Times New Roman" w:cs="Times New Roman"/>
          <w:sz w:val="24"/>
          <w:szCs w:val="24"/>
        </w:rPr>
        <w:lastRenderedPageBreak/>
        <w:t xml:space="preserve">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pools tend to perform better than individual models, they are actually suboptimal themselves because they are uncalibrated with respect to the observed distribution, even if the individual models were all properly calibrated (Hora 2004, Ranjan and Gneiting 2010). As a result, weighted linear combination ensembles fail to be flexibly dispersive, even in well-defined cases that call for it (Gneiting and Ranjan 2013, Gneiting and Katzfuss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r w:rsidR="00206051">
        <w:rPr>
          <w:rFonts w:ascii="Times New Roman" w:eastAsia="Times New Roman" w:hAnsi="Times New Roman" w:cs="Times New Roman"/>
          <w:sz w:val="24"/>
          <w:szCs w:val="24"/>
        </w:rPr>
        <w:t xml:space="preserve">Dawid et al. 1995, </w:t>
      </w:r>
      <w:r>
        <w:rPr>
          <w:rFonts w:ascii="Times New Roman" w:eastAsia="Times New Roman" w:hAnsi="Times New Roman" w:cs="Times New Roman"/>
          <w:sz w:val="24"/>
          <w:szCs w:val="24"/>
        </w:rPr>
        <w:t>Ranjan and Gneiting 20</w:t>
      </w:r>
      <w:r w:rsidR="0041684A">
        <w:rPr>
          <w:rFonts w:ascii="Times New Roman" w:eastAsia="Times New Roman" w:hAnsi="Times New Roman" w:cs="Times New Roman"/>
          <w:sz w:val="24"/>
          <w:szCs w:val="24"/>
        </w:rPr>
        <w:t xml:space="preserve">10, Gneiting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(Gneiting and Ranjan 2013). </w:t>
      </w:r>
    </w:p>
    <w:p w14:paraId="4408ED93" w14:textId="40DA823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Example: Kangaroo Rat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a long-term ecological study in the Chihuahuan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r w:rsidR="00656F68">
        <w:rPr>
          <w:rFonts w:ascii="Times New Roman" w:eastAsia="Times New Roman" w:hAnsi="Times New Roman" w:cs="Times New Roman"/>
          <w:sz w:val="24"/>
          <w:szCs w:val="24"/>
        </w:rPr>
        <w:t>Yenni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74FE68EE" w:rsidR="007F0FA8" w:rsidRPr="008E0832" w:rsidRDefault="007F0FA8" w:rsidP="007F0FA8">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sz w:val="24"/>
          <w:szCs w:val="24"/>
        </w:rPr>
        <w:t>Here we focus on the counts of Merriam’s kangaroo rat (</w:t>
      </w:r>
      <w:r w:rsidRPr="007F0FA8">
        <w:rPr>
          <w:rFonts w:ascii="Times New Roman" w:eastAsia="Times New Roman" w:hAnsi="Times New Roman" w:cs="Times New Roman"/>
          <w:i/>
          <w:sz w:val="24"/>
          <w:szCs w:val="24"/>
        </w:rPr>
        <w:t>Dipodomys merriami</w:t>
      </w:r>
      <w:r>
        <w:rPr>
          <w:rFonts w:ascii="Times New Roman" w:eastAsia="Times New Roman" w:hAnsi="Times New Roman" w:cs="Times New Roman"/>
          <w:sz w:val="24"/>
          <w:szCs w:val="24"/>
        </w:rPr>
        <w:t xml:space="preserve">) in one 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 xml:space="preserve">a </w:t>
      </w:r>
      <w:r w:rsidR="00CD511E" w:rsidRPr="00CD511E">
        <w:rPr>
          <w:rFonts w:ascii="Times New Roman" w:eastAsia="Times New Roman" w:hAnsi="Times New Roman" w:cs="Times New Roman"/>
          <w:sz w:val="24"/>
          <w:szCs w:val="24"/>
        </w:rPr>
        <w:lastRenderedPageBreak/>
        <w:t>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the counts of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r w:rsidRPr="007F0FA8">
        <w:rPr>
          <w:rFonts w:ascii="Times New Roman" w:eastAsia="Times New Roman" w:hAnsi="Times New Roman" w:cs="Times New Roman"/>
          <w:i/>
          <w:sz w:val="24"/>
          <w:szCs w:val="24"/>
        </w:rPr>
        <w:t>merriami</w:t>
      </w:r>
      <w:r>
        <w:rPr>
          <w:rFonts w:ascii="Times New Roman" w:eastAsia="Times New Roman" w:hAnsi="Times New Roman" w:cs="Times New Roman"/>
          <w:sz w:val="24"/>
          <w:szCs w:val="24"/>
        </w:rPr>
        <w:t xml:space="preserve"> in plot 17, a long-term unmanipulated rodent</w:t>
      </w:r>
      <w:r w:rsidR="008E0832">
        <w:rPr>
          <w:rFonts w:ascii="Times New Roman" w:eastAsia="Times New Roman" w:hAnsi="Times New Roman" w:cs="Times New Roman"/>
          <w:sz w:val="24"/>
          <w:szCs w:val="24"/>
        </w:rPr>
        <w:t xml:space="preserve"> control</w:t>
      </w:r>
      <w:r>
        <w:rPr>
          <w:rFonts w:ascii="Times New Roman" w:eastAsia="Times New Roman" w:hAnsi="Times New Roman" w:cs="Times New Roman"/>
          <w:sz w:val="24"/>
          <w:szCs w:val="24"/>
        </w:rPr>
        <w:t xml:space="preserve"> plot</w:t>
      </w:r>
      <w:r w:rsidR="008E0832">
        <w:rPr>
          <w:rFonts w:ascii="Times New Roman" w:eastAsia="Times New Roman" w:hAnsi="Times New Roman" w:cs="Times New Roman"/>
          <w:sz w:val="24"/>
          <w:szCs w:val="24"/>
        </w:rPr>
        <w:t xml:space="preserve"> that has always been available to all sampled rodents, including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r w:rsidR="008E0832" w:rsidRPr="007F0FA8">
        <w:rPr>
          <w:rFonts w:ascii="Times New Roman" w:eastAsia="Times New Roman" w:hAnsi="Times New Roman" w:cs="Times New Roman"/>
          <w:i/>
          <w:sz w:val="24"/>
          <w:szCs w:val="24"/>
        </w:rPr>
        <w:t>merriami</w:t>
      </w:r>
      <w:r w:rsidR="008E0832">
        <w:rPr>
          <w:rFonts w:ascii="Times New Roman" w:eastAsia="Times New Roman" w:hAnsi="Times New Roman" w:cs="Times New Roman"/>
          <w:iCs/>
          <w:sz w:val="24"/>
          <w:szCs w:val="24"/>
        </w:rPr>
        <w:t xml:space="preserve">. </w:t>
      </w:r>
      <w:r w:rsidR="008E0832" w:rsidRPr="007F0FA8">
        <w:rPr>
          <w:rFonts w:ascii="Times New Roman" w:eastAsia="Times New Roman" w:hAnsi="Times New Roman" w:cs="Times New Roman"/>
          <w:i/>
          <w:sz w:val="24"/>
          <w:szCs w:val="24"/>
        </w:rPr>
        <w:t>D</w:t>
      </w:r>
      <w:r w:rsidR="008E0832">
        <w:rPr>
          <w:rFonts w:ascii="Times New Roman" w:eastAsia="Times New Roman" w:hAnsi="Times New Roman" w:cs="Times New Roman"/>
          <w:i/>
          <w:sz w:val="24"/>
          <w:szCs w:val="24"/>
        </w:rPr>
        <w:t xml:space="preserve">. </w:t>
      </w:r>
      <w:r w:rsidR="008E0832" w:rsidRPr="007F0FA8">
        <w:rPr>
          <w:rFonts w:ascii="Times New Roman" w:eastAsia="Times New Roman" w:hAnsi="Times New Roman" w:cs="Times New Roman"/>
          <w:i/>
          <w:sz w:val="24"/>
          <w:szCs w:val="24"/>
        </w:rPr>
        <w:t>merriami</w:t>
      </w:r>
      <w:r w:rsidR="008E0832">
        <w:rPr>
          <w:rFonts w:ascii="Times New Roman" w:eastAsia="Times New Roman" w:hAnsi="Times New Roman" w:cs="Times New Roman"/>
          <w:iCs/>
          <w:sz w:val="24"/>
          <w:szCs w:val="24"/>
        </w:rPr>
        <w:t xml:space="preserve"> is currently and has historically been the numerically dominant species in the plot (out of 18 species), registering as 38.7% of the nearly </w:t>
      </w:r>
      <w:r w:rsidR="00406BFD">
        <w:rPr>
          <w:rFonts w:ascii="Times New Roman" w:eastAsia="Times New Roman" w:hAnsi="Times New Roman" w:cs="Times New Roman"/>
          <w:iCs/>
          <w:sz w:val="24"/>
          <w:szCs w:val="24"/>
        </w:rPr>
        <w:t>3,931</w:t>
      </w:r>
      <w:r w:rsidR="008E0832">
        <w:rPr>
          <w:rFonts w:ascii="Times New Roman" w:eastAsia="Times New Roman" w:hAnsi="Times New Roman" w:cs="Times New Roman"/>
          <w:iCs/>
          <w:sz w:val="24"/>
          <w:szCs w:val="24"/>
        </w:rPr>
        <w:t xml:space="preserve"> individuals trapped in the plot</w:t>
      </w:r>
      <w:r w:rsidR="00406BFD">
        <w:rPr>
          <w:rFonts w:ascii="Times New Roman" w:eastAsia="Times New Roman" w:hAnsi="Times New Roman" w:cs="Times New Roman"/>
          <w:iCs/>
          <w:sz w:val="24"/>
          <w:szCs w:val="24"/>
        </w:rPr>
        <w:t xml:space="preserve"> during the 477 sampling events</w:t>
      </w:r>
      <w:r w:rsidR="008E0832">
        <w:rPr>
          <w:rFonts w:ascii="Times New Roman" w:eastAsia="Times New Roman" w:hAnsi="Times New Roman" w:cs="Times New Roman"/>
          <w:iCs/>
          <w:sz w:val="24"/>
          <w:szCs w:val="24"/>
        </w:rPr>
        <w:t xml:space="preserve"> (</w:t>
      </w:r>
      <w:r w:rsidR="00406BFD">
        <w:rPr>
          <w:rFonts w:ascii="Times New Roman" w:eastAsia="Times New Roman" w:hAnsi="Times New Roman" w:cs="Times New Roman"/>
          <w:iCs/>
          <w:sz w:val="24"/>
          <w:szCs w:val="24"/>
        </w:rPr>
        <w:t>as of June 2019; Ernest et al. 2019)</w:t>
      </w:r>
      <w:r w:rsidR="0085648D">
        <w:rPr>
          <w:rFonts w:ascii="Times New Roman" w:eastAsia="Times New Roman" w:hAnsi="Times New Roman" w:cs="Times New Roman"/>
          <w:iCs/>
          <w:sz w:val="24"/>
          <w:szCs w:val="24"/>
        </w:rPr>
        <w:t xml:space="preserve">. Across those samples, </w:t>
      </w:r>
      <w:r w:rsidR="0085648D" w:rsidRPr="007F0FA8">
        <w:rPr>
          <w:rFonts w:ascii="Times New Roman" w:eastAsia="Times New Roman" w:hAnsi="Times New Roman" w:cs="Times New Roman"/>
          <w:i/>
          <w:sz w:val="24"/>
          <w:szCs w:val="24"/>
        </w:rPr>
        <w:t>D</w:t>
      </w:r>
      <w:r w:rsidR="0085648D">
        <w:rPr>
          <w:rFonts w:ascii="Times New Roman" w:eastAsia="Times New Roman" w:hAnsi="Times New Roman" w:cs="Times New Roman"/>
          <w:i/>
          <w:sz w:val="24"/>
          <w:szCs w:val="24"/>
        </w:rPr>
        <w:t xml:space="preserve">. </w:t>
      </w:r>
      <w:r w:rsidR="0085648D" w:rsidRPr="007F0FA8">
        <w:rPr>
          <w:rFonts w:ascii="Times New Roman" w:eastAsia="Times New Roman" w:hAnsi="Times New Roman" w:cs="Times New Roman"/>
          <w:i/>
          <w:sz w:val="24"/>
          <w:szCs w:val="24"/>
        </w:rPr>
        <w:t>merriami</w:t>
      </w:r>
      <w:r w:rsidR="0085648D">
        <w:rPr>
          <w:rFonts w:ascii="Times New Roman" w:eastAsia="Times New Roman" w:hAnsi="Times New Roman" w:cs="Times New Roman"/>
          <w:iCs/>
          <w:sz w:val="24"/>
          <w:szCs w:val="24"/>
        </w:rPr>
        <w:t xml:space="preserve"> counts have ranged from 0 to 12, with a median of 3,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3.19,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variance of 5.39</w:t>
      </w:r>
      <w:r w:rsidR="004656AA">
        <w:rPr>
          <w:rFonts w:ascii="Times New Roman" w:eastAsia="Times New Roman" w:hAnsi="Times New Roman" w:cs="Times New Roman"/>
          <w:iCs/>
          <w:sz w:val="24"/>
          <w:szCs w:val="24"/>
        </w:rPr>
        <w:t xml:space="preserve">, and modest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ness (0.824 using the method of moments population estimate)</w:t>
      </w:r>
      <w:r w:rsidR="004656AA">
        <w:rPr>
          <w:rFonts w:ascii="Times New Roman" w:eastAsia="Times New Roman" w:hAnsi="Times New Roman" w:cs="Times New Roman"/>
          <w:iCs/>
          <w:sz w:val="24"/>
          <w:szCs w:val="24"/>
        </w:rPr>
        <w:t>; 65.0%</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ata were accessed using the portalr (v</w:t>
      </w:r>
      <w:r w:rsidR="00230875">
        <w:rPr>
          <w:rFonts w:ascii="Times New Roman" w:eastAsia="Times New Roman" w:hAnsi="Times New Roman" w:cs="Times New Roman"/>
          <w:iCs/>
          <w:sz w:val="24"/>
          <w:szCs w:val="24"/>
        </w:rPr>
        <w:t>0.2.5; Yenni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xml:space="preserve">) on June 4 2019.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35D021FF"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four simple time series models to the </w:t>
      </w:r>
      <w:r w:rsidRPr="007F0FA8">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 xml:space="preserve">. </w:t>
      </w:r>
      <w:r w:rsidRPr="007F0FA8">
        <w:rPr>
          <w:rFonts w:ascii="Times New Roman" w:eastAsia="Times New Roman" w:hAnsi="Times New Roman" w:cs="Times New Roman"/>
          <w:i/>
          <w:sz w:val="24"/>
          <w:szCs w:val="24"/>
        </w:rPr>
        <w:t>merriami</w:t>
      </w:r>
      <w:r>
        <w:rPr>
          <w:rFonts w:ascii="Times New Roman" w:eastAsia="Times New Roman" w:hAnsi="Times New Roman" w:cs="Times New Roman"/>
          <w:iCs/>
          <w:sz w:val="24"/>
          <w:szCs w:val="24"/>
        </w:rPr>
        <w:t xml:space="preserve"> counts </w:t>
      </w:r>
      <w:r w:rsidR="0046020C">
        <w:rPr>
          <w:rFonts w:ascii="Times New Roman" w:eastAsia="Times New Roman" w:hAnsi="Times New Roman" w:cs="Times New Roman"/>
          <w:iCs/>
          <w:sz w:val="24"/>
          <w:szCs w:val="24"/>
        </w:rPr>
        <w:t>for forecasting</w:t>
      </w:r>
      <w:r w:rsidR="005A32DB">
        <w:rPr>
          <w:rFonts w:ascii="Times New Roman" w:eastAsia="Times New Roman" w:hAnsi="Times New Roman" w:cs="Times New Roman"/>
          <w:iCs/>
          <w:sz w:val="24"/>
          <w:szCs w:val="24"/>
        </w:rPr>
        <w:t xml:space="preserve">. Each model had a Poisson observation process with a mean density modeled on the log scale (to enforce the non-negative constraint) that experienced inherited normal process variation and one of four underlying temporal models: </w:t>
      </w:r>
      <w:r w:rsidR="0046020C">
        <w:rPr>
          <w:rFonts w:ascii="Times New Roman" w:eastAsia="Times New Roman" w:hAnsi="Times New Roman" w:cs="Times New Roman"/>
          <w:iCs/>
          <w:sz w:val="24"/>
          <w:szCs w:val="24"/>
        </w:rPr>
        <w:t xml:space="preserve">a first-order moving average (MA1), a first-order autoregressive (AR1), a first-order autoregressive with decadal cycling (cAR1), and a first-order autoregressive and first-order moving average (ARMA1) </w:t>
      </w:r>
      <w:r>
        <w:rPr>
          <w:rFonts w:ascii="Times New Roman" w:eastAsia="Times New Roman" w:hAnsi="Times New Roman" w:cs="Times New Roman"/>
          <w:color w:val="000000"/>
          <w:sz w:val="24"/>
          <w:szCs w:val="24"/>
        </w:rPr>
        <w:t>(Table 4).</w:t>
      </w:r>
      <w:r w:rsidR="005A32DB">
        <w:rPr>
          <w:rFonts w:ascii="Times New Roman" w:eastAsia="Times New Roman" w:hAnsi="Times New Roman" w:cs="Times New Roman"/>
          <w:color w:val="000000"/>
          <w:sz w:val="24"/>
          <w:szCs w:val="24"/>
        </w:rPr>
        <w:t xml:space="preserve"> </w:t>
      </w:r>
    </w:p>
    <w:p w14:paraId="121BB1CB" w14:textId="77777777" w:rsidR="006D5471" w:rsidRDefault="006D5471" w:rsidP="006D5471">
      <w:pPr>
        <w:widowControl w:val="0"/>
        <w:spacing w:line="480" w:lineRule="auto"/>
        <w:ind w:firstLine="720"/>
        <w:rPr>
          <w:rFonts w:ascii="Times New Roman" w:eastAsia="Times New Roman" w:hAnsi="Times New Roman" w:cs="Times New Roman"/>
          <w:sz w:val="24"/>
          <w:szCs w:val="24"/>
        </w:rPr>
      </w:pPr>
    </w:p>
    <w:p w14:paraId="4B806494" w14:textId="77777777"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24E9212B" w14:textId="77777777" w:rsidR="006D5471" w:rsidRDefault="006D5471" w:rsidP="003E3D4A">
      <w:pPr>
        <w:widowControl w:val="0"/>
        <w:spacing w:line="480" w:lineRule="auto"/>
        <w:rPr>
          <w:rFonts w:ascii="Times New Roman" w:eastAsia="Times New Roman" w:hAnsi="Times New Roman" w:cs="Times New Roman"/>
          <w:color w:val="000000"/>
          <w:sz w:val="24"/>
          <w:szCs w:val="24"/>
        </w:rPr>
      </w:pPr>
    </w:p>
    <w:p w14:paraId="0C007AB2" w14:textId="77777777" w:rsidR="0086753F" w:rsidRPr="00E62D07" w:rsidRDefault="0086753F" w:rsidP="003E3D4A">
      <w:pPr>
        <w:widowControl w:val="0"/>
        <w:spacing w:line="480" w:lineRule="auto"/>
        <w:rPr>
          <w:rFonts w:ascii="Times New Roman" w:eastAsia="Times New Roman" w:hAnsi="Times New Roman" w:cs="Times New Roman"/>
          <w:sz w:val="24"/>
          <w:szCs w:val="24"/>
        </w:rPr>
      </w:pPr>
      <w:bookmarkStart w:id="8" w:name="_Hlk10590071"/>
    </w:p>
    <w:p w14:paraId="7654C48A" w14:textId="6269AD50" w:rsidR="0086753F" w:rsidRDefault="0086753F" w:rsidP="003E3D4A">
      <w:pPr>
        <w:widowControl w:val="0"/>
        <w:spacing w:line="480" w:lineRule="auto"/>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sidR="00827C02">
        <w:rPr>
          <w:rFonts w:ascii="Times New Roman" w:eastAsia="Times New Roman" w:hAnsi="Times New Roman" w:cs="Times New Roman"/>
          <w:color w:val="000000"/>
          <w:sz w:val="24"/>
          <w:szCs w:val="24"/>
        </w:rPr>
        <w:t>s</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sidR="00DE4A88">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xml:space="preserve">), accessed via R </w:t>
      </w:r>
      <w:r w:rsidRPr="0086753F">
        <w:rPr>
          <w:rFonts w:ascii="Times New Roman" w:eastAsia="Times New Roman" w:hAnsi="Times New Roman" w:cs="Times New Roman"/>
          <w:color w:val="000000"/>
          <w:sz w:val="24"/>
          <w:szCs w:val="24"/>
        </w:rPr>
        <w:lastRenderedPageBreak/>
        <w:t>(</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827C02">
        <w:rPr>
          <w:rFonts w:ascii="Times New Roman" w:eastAsia="Times New Roman" w:hAnsi="Times New Roman" w:cs="Times New Roman"/>
          <w:color w:val="000000"/>
          <w:sz w:val="24"/>
          <w:szCs w:val="24"/>
        </w:rPr>
        <w:t>) via</w:t>
      </w:r>
      <w:r w:rsidRPr="0086753F">
        <w:rPr>
          <w:rFonts w:ascii="Times New Roman" w:eastAsia="Times New Roman" w:hAnsi="Times New Roman" w:cs="Times New Roman"/>
          <w:color w:val="000000"/>
          <w:sz w:val="24"/>
          <w:szCs w:val="24"/>
        </w:rPr>
        <w:t xml:space="preserve"> the run.jags function in the runjags package (v2.0.4-2; Denwood 2016)</w:t>
      </w:r>
      <w:r w:rsidR="00D4202A">
        <w:rPr>
          <w:rFonts w:ascii="Times New Roman" w:eastAsia="Times New Roman" w:hAnsi="Times New Roman" w:cs="Times New Roman"/>
          <w:color w:val="000000"/>
          <w:sz w:val="24"/>
          <w:szCs w:val="24"/>
        </w:rPr>
        <w:t>.</w:t>
      </w:r>
    </w:p>
    <w:p w14:paraId="1339AC8C" w14:textId="5983CFA7" w:rsidR="00827C02" w:rsidRDefault="00827C02"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 of the MCMC output was facilitated using</w:t>
      </w:r>
      <w:r w:rsidRPr="0086753F">
        <w:rPr>
          <w:rFonts w:ascii="Times New Roman" w:eastAsia="Times New Roman" w:hAnsi="Times New Roman" w:cs="Times New Roman"/>
          <w:color w:val="000000"/>
          <w:sz w:val="24"/>
          <w:szCs w:val="24"/>
        </w:rPr>
        <w:t xml:space="preserve"> the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w:t>
      </w:r>
      <w:r w:rsidRPr="0086753F">
        <w:rPr>
          <w:rFonts w:ascii="Times New Roman" w:eastAsia="Times New Roman" w:hAnsi="Times New Roman" w:cs="Times New Roman"/>
          <w:color w:val="000000"/>
          <w:sz w:val="24"/>
          <w:szCs w:val="24"/>
        </w:rPr>
        <w:t>R (R Core Team 201</w:t>
      </w:r>
      <w:r>
        <w:rPr>
          <w:rFonts w:ascii="Times New Roman" w:eastAsia="Times New Roman" w:hAnsi="Times New Roman" w:cs="Times New Roman"/>
          <w:color w:val="000000"/>
          <w:sz w:val="24"/>
          <w:szCs w:val="24"/>
        </w:rPr>
        <w:t>8)</w:t>
      </w:r>
      <w:r w:rsidR="00E91B2C">
        <w:rPr>
          <w:rFonts w:ascii="Times New Roman" w:eastAsia="Times New Roman" w:hAnsi="Times New Roman" w:cs="Times New Roman"/>
          <w:color w:val="000000"/>
          <w:sz w:val="24"/>
          <w:szCs w:val="24"/>
        </w:rPr>
        <w:t>.</w:t>
      </w:r>
    </w:p>
    <w:p w14:paraId="745FBECB" w14:textId="483AEFC8" w:rsidR="00E62D07" w:rsidRDefault="00E62D07" w:rsidP="003E3D4A">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scoringRules package (</w:t>
      </w:r>
      <w:r w:rsidR="00E91B2C">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 in R (</w:t>
      </w:r>
      <w:r w:rsidR="00E91B2C">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p>
    <w:p w14:paraId="5409E6FD" w14:textId="77777777" w:rsidR="00E91B2C" w:rsidRDefault="00E91B2C" w:rsidP="00E91B2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skewness was measured using the skewness function in the e1071 package (v1.7-1; Meyer et al. 2019) in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w:t>
      </w:r>
      <w:r>
        <w:rPr>
          <w:rFonts w:ascii="Times New Roman" w:eastAsia="Times New Roman" w:hAnsi="Times New Roman" w:cs="Times New Roman"/>
          <w:color w:val="000000"/>
          <w:sz w:val="24"/>
          <w:szCs w:val="24"/>
        </w:rPr>
        <w:t>8</w:t>
      </w:r>
      <w:r w:rsidRPr="00E62D07">
        <w:rPr>
          <w:rFonts w:ascii="Times New Roman" w:eastAsia="Times New Roman" w:hAnsi="Times New Roman" w:cs="Times New Roman"/>
          <w:color w:val="000000"/>
          <w:sz w:val="24"/>
          <w:szCs w:val="24"/>
        </w:rPr>
        <w:t>)</w:t>
      </w:r>
    </w:p>
    <w:p w14:paraId="180DA86C" w14:textId="395F64EA" w:rsidR="00E91B2C" w:rsidRPr="00E62D07" w:rsidRDefault="00E91B2C"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scripts that are provided in Appendix B.</w:t>
      </w:r>
    </w:p>
    <w:bookmarkEnd w:id="8"/>
    <w:p w14:paraId="1827621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39E9E47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426841FE" w14:textId="4D69765D" w:rsidR="00FC69C9" w:rsidRDefault="00FC69C9" w:rsidP="003E3D4A">
      <w:pPr>
        <w:widowControl w:val="0"/>
        <w:spacing w:line="480" w:lineRule="auto"/>
        <w:rPr>
          <w:rFonts w:ascii="Times New Roman" w:eastAsia="Times New Roman" w:hAnsi="Times New Roman" w:cs="Times New Roman"/>
          <w:sz w:val="24"/>
          <w:szCs w:val="24"/>
        </w:rPr>
      </w:pPr>
    </w:p>
    <w:p w14:paraId="61EEAFCA" w14:textId="1049B20B" w:rsidR="00C23A95" w:rsidRDefault="00C23A95"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Ongoing development of the field</w:t>
      </w:r>
    </w:p>
    <w:p w14:paraId="35EFEC2A" w14:textId="77777777" w:rsidR="00C23A95" w:rsidRDefault="00C23A95" w:rsidP="00C23A95">
      <w:pPr>
        <w:widowControl w:val="0"/>
        <w:spacing w:line="480" w:lineRule="auto"/>
        <w:rPr>
          <w:rFonts w:ascii="Times New Roman" w:eastAsia="Times New Roman" w:hAnsi="Times New Roman" w:cs="Times New Roman"/>
          <w:color w:val="000000"/>
          <w:sz w:val="24"/>
          <w:szCs w:val="24"/>
        </w:rPr>
      </w:pPr>
      <w:r w:rsidRPr="00C23A95">
        <w:rPr>
          <w:rFonts w:ascii="Times New Roman" w:eastAsia="Times New Roman" w:hAnsi="Times New Roman" w:cs="Times New Roman"/>
          <w:color w:val="000000"/>
          <w:sz w:val="24"/>
          <w:szCs w:val="24"/>
        </w:rPr>
        <w:t>Kernel Scoring</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Further, there is ongoing development (albeit with minimal application to date) of general (e.g., kernel-based) scoring rules that admit an exceptionally wide range of possible strictly proper scoring functions (Dawid 1998, Dawid 2006, Gneiting and Raftery 2007)</w:t>
      </w:r>
    </w:p>
    <w:p w14:paraId="581894B0" w14:textId="362DC025" w:rsidR="00C23A95" w:rsidRDefault="00C23A95" w:rsidP="003E3D4A">
      <w:pPr>
        <w:widowControl w:val="0"/>
        <w:spacing w:line="480" w:lineRule="auto"/>
        <w:rPr>
          <w:rFonts w:ascii="Times New Roman" w:eastAsia="Times New Roman" w:hAnsi="Times New Roman" w:cs="Times New Roman"/>
          <w:sz w:val="24"/>
          <w:szCs w:val="24"/>
        </w:rPr>
      </w:pPr>
    </w:p>
    <w:p w14:paraId="14312AAE" w14:textId="77777777" w:rsidR="00C23A95" w:rsidRDefault="00C23A95" w:rsidP="003E3D4A">
      <w:pPr>
        <w:widowControl w:val="0"/>
        <w:spacing w:line="480" w:lineRule="auto"/>
        <w:rPr>
          <w:rFonts w:ascii="Times New Roman" w:eastAsia="Times New Roman" w:hAnsi="Times New Roman" w:cs="Times New Roman"/>
          <w:sz w:val="24"/>
          <w:szCs w:val="24"/>
        </w:rPr>
      </w:pPr>
    </w:p>
    <w:p w14:paraId="5CED9AB7" w14:textId="79440B09" w:rsidR="00E62D07"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where ecological forecasting applications can help push the field generally</w:t>
      </w:r>
    </w:p>
    <w:p w14:paraId="60D428C2" w14:textId="676F7787" w:rsidR="00FC69C9" w:rsidRDefault="00FC69C9"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for time series with non-linear dynamics and strong autocorrelation</w:t>
      </w:r>
    </w:p>
    <w:p w14:paraId="04891DB4" w14:textId="500EF1E9" w:rsidR="00FC69C9" w:rsidRDefault="005F2038"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Kernel scoring rules</w:t>
      </w:r>
    </w:p>
    <w:p w14:paraId="68636A5C" w14:textId="77777777" w:rsidR="005F2038" w:rsidRPr="00E62D07" w:rsidRDefault="005F2038" w:rsidP="003E3D4A">
      <w:pPr>
        <w:widowControl w:val="0"/>
        <w:spacing w:line="480" w:lineRule="auto"/>
        <w:rPr>
          <w:rFonts w:ascii="Times New Roman" w:eastAsia="Times New Roman" w:hAnsi="Times New Roman" w:cs="Times New Roman"/>
          <w:sz w:val="24"/>
          <w:szCs w:val="24"/>
        </w:rPr>
      </w:pP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Arlot, S. and A. Celisse.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Wiley Interscience.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xml:space="preserve">. John Wiley &amp; Sons, New York, </w:t>
      </w:r>
      <w:r>
        <w:rPr>
          <w:rFonts w:ascii="Times New Roman" w:eastAsia="Times New Roman" w:hAnsi="Times New Roman" w:cs="Times New Roman"/>
          <w:color w:val="000000"/>
          <w:sz w:val="24"/>
          <w:szCs w:val="24"/>
        </w:rPr>
        <w:lastRenderedPageBreak/>
        <w:t>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781944">
        <w:rPr>
          <w:rFonts w:ascii="Times New Roman" w:eastAsia="Times New Roman" w:hAnsi="Times New Roman" w:cs="Times New Roman"/>
          <w:color w:val="000000"/>
          <w:sz w:val="24"/>
          <w:szCs w:val="24"/>
        </w:rPr>
        <w:t>Breiman</w:t>
      </w:r>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r w:rsidRPr="001A25B0">
        <w:rPr>
          <w:rFonts w:ascii="Times New Roman" w:eastAsia="Times New Roman" w:hAnsi="Times New Roman" w:cs="Times New Roman"/>
          <w:sz w:val="24"/>
          <w:szCs w:val="24"/>
        </w:rPr>
        <w:t>Ruppert.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granivory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Resetarits,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Candille, G. and O. Talagrand.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E. M., G. M. Yenni,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lastRenderedPageBreak/>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Dellaportas,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Melin,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260334A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Czado, C., T. Gneiting,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Dawid,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Dawid,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J. Mortera</w:t>
      </w:r>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lastRenderedPageBreak/>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Dietze,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Dietze, M. C., A. Fox, L. M. Beck-Johnson, J. L. Betancourt, M B. Hooten, C. S. Jarnevich, T. H. Keitt, M. A. Kenney, C. M. Laney, L. G. Larsen, H. W. Loescher, C. K. Lunch, B C. Pijanowski, J. T. Randerson, E. K. Read, A. T. Tredennick,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r w:rsidRPr="00A84BB0">
        <w:rPr>
          <w:rFonts w:ascii="Times New Roman" w:eastAsia="Times New Roman" w:hAnsi="Times New Roman" w:cs="Times New Roman"/>
          <w:color w:val="000000"/>
          <w:sz w:val="24"/>
          <w:szCs w:val="24"/>
        </w:rPr>
        <w:t>Dormann</w:t>
      </w:r>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Guillera‐Arroita</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Matechou</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Bartoń</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Ciuti</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Elith</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Guelat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J. Lahoz‐Monfort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Reineking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Schröder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Thuiller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A. Wintle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Wüest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Hartig</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w:t>
      </w:r>
      <w:r w:rsidRPr="00A84BB0">
        <w:rPr>
          <w:rFonts w:ascii="Times New Roman" w:eastAsia="Times New Roman" w:hAnsi="Times New Roman" w:cs="Times New Roman"/>
          <w:color w:val="000000"/>
          <w:sz w:val="24"/>
          <w:szCs w:val="24"/>
        </w:rPr>
        <w:lastRenderedPageBreak/>
        <w:t xml:space="preserve">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 xml:space="preserve">Valone,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Chihuahuan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Geluso,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Goheen</w:t>
      </w:r>
      <w:r>
        <w:rPr>
          <w:rFonts w:ascii="Times New Roman" w:eastAsia="Times New Roman" w:hAnsi="Times New Roman" w:cs="Times New Roman"/>
          <w:sz w:val="24"/>
          <w:szCs w:val="24"/>
        </w:rPr>
        <w:t>, M. R. Schutzenhofer, S. R. Supp, K. M. Thibault, J. H. Brown and T. J.</w:t>
      </w:r>
      <w:r w:rsidRPr="009F337C">
        <w:rPr>
          <w:rFonts w:ascii="Times New Roman" w:eastAsia="Times New Roman" w:hAnsi="Times New Roman" w:cs="Times New Roman"/>
          <w:sz w:val="24"/>
          <w:szCs w:val="24"/>
        </w:rPr>
        <w:t xml:space="preserve"> Valone. 2016. Long‐term monitoring and experimental manipulation of a Chihuahuan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Valone</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2018. The portal project: A long‐term study of a Chihuahuan Desert ecosystem. bioRxiv. 10.1101/332783</w:t>
      </w:r>
    </w:p>
    <w:p w14:paraId="4330D36B" w14:textId="76C446F4"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T. J. </w:t>
      </w:r>
      <w:r w:rsidRPr="009F337C">
        <w:rPr>
          <w:rFonts w:ascii="Times New Roman" w:eastAsia="Times New Roman" w:hAnsi="Times New Roman" w:cs="Times New Roman"/>
          <w:sz w:val="24"/>
          <w:szCs w:val="24"/>
        </w:rPr>
        <w:t>Valone</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v1.100.0. zenodo</w:t>
      </w:r>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Fildes,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&amp; Makridakis,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Fruhwirth-Schnatter,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7E719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 E. Raftery, A. H., Westveld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F. Balabdaoui,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Gneiting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Gneiting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M. Katzfuss.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V. P. Godambe and D. A. Sprott,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Tibshirani,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Hersbach,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96664C">
        <w:rPr>
          <w:rFonts w:ascii="Times New Roman" w:eastAsia="Times New Roman" w:hAnsi="Times New Roman" w:cs="Times New Roman"/>
          <w:color w:val="000000"/>
          <w:sz w:val="24"/>
          <w:szCs w:val="24"/>
        </w:rPr>
        <w:t>Hoeting,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r w:rsidRPr="0096664C">
        <w:rPr>
          <w:rFonts w:ascii="Times New Roman" w:eastAsia="Times New Roman" w:hAnsi="Times New Roman" w:cs="Times New Roman"/>
          <w:color w:val="000000"/>
          <w:sz w:val="24"/>
          <w:szCs w:val="24"/>
        </w:rPr>
        <w:t>Volinsky.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w:t>
      </w:r>
      <w:r w:rsidRPr="00C32710">
        <w:rPr>
          <w:rFonts w:ascii="Times New Roman" w:eastAsia="Times New Roman" w:hAnsi="Times New Roman" w:cs="Times New Roman"/>
          <w:sz w:val="24"/>
          <w:szCs w:val="24"/>
        </w:rPr>
        <w:lastRenderedPageBreak/>
        <w:t xml:space="preserve">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xml:space="preserve">. arXiv:physics/0401046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Joanes</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Kruschke,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 xml:space="preserve">Journal of the American Statistical </w:t>
      </w:r>
      <w:r w:rsidRPr="001D5D02">
        <w:rPr>
          <w:rFonts w:ascii="Times New Roman" w:eastAsia="Times New Roman" w:hAnsi="Times New Roman" w:cs="Times New Roman"/>
          <w:i/>
          <w:color w:val="000000"/>
          <w:sz w:val="24"/>
          <w:szCs w:val="24"/>
        </w:rPr>
        <w:lastRenderedPageBreak/>
        <w:t>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C. Chatfield, M. Hibon,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Apfeldorf, M. Ben-Nun, L. Brooks, M. Convertino, M. Erraguntla, D. C. Farrow, J. Freeze, S. Ghosh, S. Hyun, S. Kandula, J. Lega, Y. Liu, N. Michaud, H. Morita, J. Niemi, N. Ramakrishnan, E. L. Ray, N. G. Reich, P. Riley, J. Shaman, R. Tibshirani, A. Vespignani,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Dimitriadou,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Hornik,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Weingessel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Leisch</w:t>
      </w:r>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lastRenderedPageBreak/>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Pennekamp, F., M. W. Adamson, O. L. Petchey, J.-C. Poggiale, M. Aguiar, B. W. Kooi,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22630B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Pontarp, T. M. Massie, S. Kefi, A. Ozgul, M. Weilenmann, G. M. Palamara, F. Altermatt, B. Matthews, J. M. Levine, D. Z. Childs, B. J. McGill, M. E. Schaepman, B. Schmid, P. Spaak, A. P. Beckerman, F. Pennekamp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w:t>
      </w:r>
      <w:r>
        <w:rPr>
          <w:rFonts w:ascii="Times New Roman" w:eastAsia="Times New Roman" w:hAnsi="Times New Roman" w:cs="Times New Roman"/>
          <w:color w:val="000000"/>
          <w:sz w:val="24"/>
          <w:szCs w:val="24"/>
        </w:rPr>
        <w:lastRenderedPageBreak/>
        <w:t xml:space="preserve">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Gneiting, F. Balabdaoui, and M. Polakowski.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Gneiting.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r w:rsidRPr="00E9702D">
        <w:rPr>
          <w:rFonts w:ascii="Times New Roman" w:eastAsia="Times New Roman" w:hAnsi="Times New Roman" w:cs="Times New Roman"/>
          <w:i/>
          <w:iCs/>
          <w:color w:val="000000"/>
          <w:sz w:val="24"/>
          <w:szCs w:val="24"/>
        </w:rPr>
        <w:t>PLoS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Yamana, A. Tushar, R. L. Ray, D. Osthus, S. Kandula, L. C. Brooks, W. Crawford-Crudell, G. C. Gibson, E. Moore, R. Silva, M. Biggerstaff, M. A. Johansson, R. Rosenfeld, and J. Shaman. 2019. A collaborative multi-model ensemble for real-time influenza season forecasting in the U.S. </w:t>
      </w:r>
      <w:r w:rsidRPr="00E9702D">
        <w:rPr>
          <w:rFonts w:ascii="Times New Roman" w:eastAsia="Times New Roman" w:hAnsi="Times New Roman" w:cs="Times New Roman"/>
          <w:i/>
          <w:iCs/>
          <w:color w:val="000000"/>
          <w:sz w:val="24"/>
          <w:szCs w:val="24"/>
        </w:rPr>
        <w:t>bioRxiv</w:t>
      </w:r>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Decision Science Laboratory, United States Air Force. L.G. Hascom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lastRenderedPageBreak/>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10.1214/aoms/1177729394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Selten,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Sigrist, F., H. R. Kunsch, and W. A. Stahel.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Rabon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1974. Cross-validatory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Tashman,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Tashman, L. J. and J. Hoover. 2001. An evaluation of forecasting software. In </w:t>
      </w:r>
      <w:r w:rsidRPr="00E9702D">
        <w:rPr>
          <w:rFonts w:ascii="Times New Roman" w:eastAsia="Times New Roman" w:hAnsi="Times New Roman" w:cs="Times New Roman"/>
          <w:i/>
          <w:iCs/>
          <w:color w:val="000000"/>
          <w:sz w:val="24"/>
          <w:szCs w:val="24"/>
        </w:rPr>
        <w:t xml:space="preserve">Principles of </w:t>
      </w:r>
      <w:r w:rsidRPr="00E9702D">
        <w:rPr>
          <w:rFonts w:ascii="Times New Roman" w:eastAsia="Times New Roman" w:hAnsi="Times New Roman" w:cs="Times New Roman"/>
          <w:i/>
          <w:iCs/>
          <w:color w:val="000000"/>
          <w:sz w:val="24"/>
          <w:szCs w:val="24"/>
        </w:rPr>
        <w:lastRenderedPageBreak/>
        <w:t>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r w:rsidRPr="00712FC5">
        <w:rPr>
          <w:rFonts w:ascii="Times New Roman" w:eastAsia="Times New Roman" w:hAnsi="Times New Roman" w:cs="Times New Roman"/>
          <w:sz w:val="24"/>
          <w:szCs w:val="24"/>
        </w:rPr>
        <w:t>Knutti</w:t>
      </w:r>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Velaquez, J. A., F. Anctil, and C. Perrin. 2010. Performance and reliability of multimodel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r w:rsidRPr="00E9702D">
        <w:rPr>
          <w:rFonts w:ascii="Times New Roman" w:eastAsia="Times New Roman" w:hAnsi="Times New Roman" w:cs="Times New Roman"/>
          <w:i/>
          <w:iCs/>
          <w:color w:val="000000"/>
          <w:sz w:val="24"/>
          <w:szCs w:val="24"/>
        </w:rPr>
        <w:t>OIkos</w:t>
      </w:r>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Wecker,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zenodo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1C9F6ADE" w14:textId="0E84763C"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Vehtari,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Yenni, G. M., E. M. Christensen, E. K. Bledsoe, S. R. Supp, R. M. Diaz, E. P. White, and S. K. </w:t>
      </w:r>
      <w:r>
        <w:rPr>
          <w:rFonts w:ascii="Times New Roman" w:eastAsia="Times New Roman" w:hAnsi="Times New Roman" w:cs="Times New Roman"/>
          <w:color w:val="000000"/>
          <w:sz w:val="24"/>
          <w:szCs w:val="24"/>
        </w:rPr>
        <w:lastRenderedPageBreak/>
        <w:t>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9" w:name="_Hlk7566155"/>
        <w:tc>
          <w:tcPr>
            <w:tcW w:w="8105" w:type="dxa"/>
          </w:tcPr>
          <w:p w14:paraId="451FBA8E" w14:textId="77777777" w:rsidR="00853375" w:rsidRPr="00BD1832" w:rsidRDefault="00E57099"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9"/>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E57099"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E57099"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E57099"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E57099"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E57099"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E57099"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E57099"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E57099"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E57099"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E57099"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77777777"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r w:rsidR="00BE376D">
        <w:rPr>
          <w:rFonts w:ascii="Times New Roman" w:eastAsia="Times New Roman" w:hAnsi="Times New Roman" w:cs="Times New Roman"/>
          <w:sz w:val="24"/>
          <w:szCs w:val="24"/>
        </w:rPr>
        <w:t>Gneiting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77777777"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p>
    <w:p w14:paraId="75426BEA" w14:textId="7B678D67" w:rsidR="00853375"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[DM models and results]</w:t>
      </w:r>
      <w:r w:rsidR="00853375">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bookmarkStart w:id="10" w:name="_GoBack"/>
      <w:bookmarkEnd w:id="10"/>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CD6F316" w14:textId="720E2892" w:rsidR="0085648D"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 xml:space="preserve">In the PIT histograms, the horizontal dashed line represents a uniform distribution. Note that the y axes scales vary among PIT histograms. </w:t>
      </w:r>
      <w:r w:rsidR="0085648D">
        <w:rPr>
          <w:rFonts w:ascii="Times New Roman" w:eastAsia="Times New Roman" w:hAnsi="Times New Roman" w:cs="Times New Roman"/>
          <w:color w:val="000000"/>
          <w:sz w:val="24"/>
          <w:szCs w:val="24"/>
        </w:rPr>
        <w:br w:type="page"/>
      </w:r>
    </w:p>
    <w:p w14:paraId="6D01B3DA" w14:textId="46B1FB05" w:rsidR="001A3993" w:rsidRDefault="001A3993"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lastRenderedPageBreak/>
        <w:t>[DM plot]</w:t>
      </w:r>
    </w:p>
    <w:p w14:paraId="7A669A6F" w14:textId="7BD3D891" w:rsidR="00853375" w:rsidRDefault="0085648D"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Dawid 1998, Gneiting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Proper scoring rules encourage honest forecasts that maximize reward (de Finetti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Gneiting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(Krüger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Gneiting and Raftery 2007</w:t>
      </w:r>
      <w:r>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Appendix B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75D5EEB6"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Walter de Gruijter,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r w:rsidRPr="00E9702D">
        <w:rPr>
          <w:rFonts w:ascii="Times New Roman" w:eastAsia="Times New Roman" w:hAnsi="Times New Roman" w:cs="Times New Roman"/>
          <w:color w:val="000000"/>
          <w:sz w:val="24"/>
          <w:szCs w:val="24"/>
        </w:rPr>
        <w:lastRenderedPageBreak/>
        <w:t>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r w:rsidR="00B7729A" w:rsidRPr="0086753F">
        <w:rPr>
          <w:rFonts w:ascii="Times New Roman" w:eastAsia="Times New Roman" w:hAnsi="Times New Roman" w:cs="Times New Roman"/>
          <w:color w:val="000000"/>
          <w:sz w:val="24"/>
          <w:szCs w:val="24"/>
        </w:rPr>
        <w:t>runjags (v2.0.4-2; Denwood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r w:rsidR="00B7729A" w:rsidRPr="00E62D07">
        <w:rPr>
          <w:rFonts w:ascii="Times New Roman" w:eastAsia="Times New Roman" w:hAnsi="Times New Roman" w:cs="Times New Roman"/>
          <w:color w:val="000000"/>
          <w:sz w:val="24"/>
          <w:szCs w:val="24"/>
        </w:rPr>
        <w:t xml:space="preserve">scoringRules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portalr (v0.2.5; Yenni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Yenni, H. Ye, J. L. Simonis, E. K. Bledsoe, R. Diaz, S. D. Taylor, E. P. White, and S. K. M. Ernest.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E2DC6" w14:textId="77777777" w:rsidR="00E57099" w:rsidRDefault="00E57099" w:rsidP="003E3D4A">
      <w:r>
        <w:separator/>
      </w:r>
    </w:p>
  </w:endnote>
  <w:endnote w:type="continuationSeparator" w:id="0">
    <w:p w14:paraId="1B15EB99" w14:textId="77777777" w:rsidR="00E57099" w:rsidRDefault="00E57099"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3748BDD4" w:rsidR="00E8651E" w:rsidRDefault="00E8651E">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39D073E1" w14:textId="77777777" w:rsidR="00E8651E" w:rsidRDefault="00E865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79F0A90E" w:rsidR="00E8651E" w:rsidRDefault="00E865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E8651E" w:rsidRDefault="00E865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FD3F6F" w14:textId="77777777" w:rsidR="00E57099" w:rsidRDefault="00E57099" w:rsidP="003E3D4A">
      <w:r>
        <w:separator/>
      </w:r>
    </w:p>
  </w:footnote>
  <w:footnote w:type="continuationSeparator" w:id="0">
    <w:p w14:paraId="53A96508" w14:textId="77777777" w:rsidR="00E57099" w:rsidRDefault="00E57099"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3BF9"/>
    <w:rsid w:val="00024BB0"/>
    <w:rsid w:val="0002518B"/>
    <w:rsid w:val="00032947"/>
    <w:rsid w:val="000500E1"/>
    <w:rsid w:val="00050FB3"/>
    <w:rsid w:val="000550DD"/>
    <w:rsid w:val="00064642"/>
    <w:rsid w:val="00087960"/>
    <w:rsid w:val="0009376C"/>
    <w:rsid w:val="000A0275"/>
    <w:rsid w:val="000A13F4"/>
    <w:rsid w:val="000A2A6A"/>
    <w:rsid w:val="000C2BE0"/>
    <w:rsid w:val="000C4976"/>
    <w:rsid w:val="000D03C8"/>
    <w:rsid w:val="000D12D5"/>
    <w:rsid w:val="000E2926"/>
    <w:rsid w:val="000F4AE2"/>
    <w:rsid w:val="00103A07"/>
    <w:rsid w:val="001043DB"/>
    <w:rsid w:val="00141FC0"/>
    <w:rsid w:val="00144C95"/>
    <w:rsid w:val="00146730"/>
    <w:rsid w:val="00147F4F"/>
    <w:rsid w:val="00154202"/>
    <w:rsid w:val="001615D4"/>
    <w:rsid w:val="00164CF1"/>
    <w:rsid w:val="0016739D"/>
    <w:rsid w:val="001848FA"/>
    <w:rsid w:val="001904AF"/>
    <w:rsid w:val="00193D28"/>
    <w:rsid w:val="001A25B0"/>
    <w:rsid w:val="001A2E7D"/>
    <w:rsid w:val="001A3993"/>
    <w:rsid w:val="001B2CD8"/>
    <w:rsid w:val="001B2E0F"/>
    <w:rsid w:val="001B4358"/>
    <w:rsid w:val="001D5D02"/>
    <w:rsid w:val="001E748F"/>
    <w:rsid w:val="001F2F05"/>
    <w:rsid w:val="001F3EE6"/>
    <w:rsid w:val="002027AE"/>
    <w:rsid w:val="00206051"/>
    <w:rsid w:val="00206C60"/>
    <w:rsid w:val="00214CF0"/>
    <w:rsid w:val="00230875"/>
    <w:rsid w:val="0026298E"/>
    <w:rsid w:val="00263BA2"/>
    <w:rsid w:val="002659F1"/>
    <w:rsid w:val="002706D2"/>
    <w:rsid w:val="00275DFB"/>
    <w:rsid w:val="00291FD9"/>
    <w:rsid w:val="002929AC"/>
    <w:rsid w:val="002A13DF"/>
    <w:rsid w:val="002B09F7"/>
    <w:rsid w:val="002C3676"/>
    <w:rsid w:val="002C41D0"/>
    <w:rsid w:val="002C7921"/>
    <w:rsid w:val="002D3AFB"/>
    <w:rsid w:val="002D7C3D"/>
    <w:rsid w:val="002E0630"/>
    <w:rsid w:val="002E57D0"/>
    <w:rsid w:val="002F302C"/>
    <w:rsid w:val="002F5EB8"/>
    <w:rsid w:val="00300C53"/>
    <w:rsid w:val="0031080C"/>
    <w:rsid w:val="003137F1"/>
    <w:rsid w:val="00320375"/>
    <w:rsid w:val="003223FF"/>
    <w:rsid w:val="0033014C"/>
    <w:rsid w:val="0035166D"/>
    <w:rsid w:val="003545EB"/>
    <w:rsid w:val="00354F6B"/>
    <w:rsid w:val="00386550"/>
    <w:rsid w:val="003958E6"/>
    <w:rsid w:val="003A4C60"/>
    <w:rsid w:val="003B3DF3"/>
    <w:rsid w:val="003C2A60"/>
    <w:rsid w:val="003E3D4A"/>
    <w:rsid w:val="003F5D02"/>
    <w:rsid w:val="003F5E13"/>
    <w:rsid w:val="003F7371"/>
    <w:rsid w:val="00400627"/>
    <w:rsid w:val="00406BFD"/>
    <w:rsid w:val="0041684A"/>
    <w:rsid w:val="00432EAC"/>
    <w:rsid w:val="0045342E"/>
    <w:rsid w:val="00454985"/>
    <w:rsid w:val="00455316"/>
    <w:rsid w:val="0046020C"/>
    <w:rsid w:val="004650A2"/>
    <w:rsid w:val="004656AA"/>
    <w:rsid w:val="00474165"/>
    <w:rsid w:val="00477131"/>
    <w:rsid w:val="00496BBB"/>
    <w:rsid w:val="004B5DCF"/>
    <w:rsid w:val="004E1E6C"/>
    <w:rsid w:val="004E5FA0"/>
    <w:rsid w:val="004F2555"/>
    <w:rsid w:val="004F3505"/>
    <w:rsid w:val="005129C4"/>
    <w:rsid w:val="005143B1"/>
    <w:rsid w:val="00516C66"/>
    <w:rsid w:val="00524F75"/>
    <w:rsid w:val="00534021"/>
    <w:rsid w:val="00542BE3"/>
    <w:rsid w:val="00574E59"/>
    <w:rsid w:val="005831A7"/>
    <w:rsid w:val="005A1F89"/>
    <w:rsid w:val="005A32DB"/>
    <w:rsid w:val="005B401F"/>
    <w:rsid w:val="005B4C43"/>
    <w:rsid w:val="005D1AEF"/>
    <w:rsid w:val="005E115C"/>
    <w:rsid w:val="005F2038"/>
    <w:rsid w:val="005F2F66"/>
    <w:rsid w:val="006075D9"/>
    <w:rsid w:val="006554A2"/>
    <w:rsid w:val="006568DE"/>
    <w:rsid w:val="00656F68"/>
    <w:rsid w:val="00667018"/>
    <w:rsid w:val="00667C5D"/>
    <w:rsid w:val="00684396"/>
    <w:rsid w:val="0069170B"/>
    <w:rsid w:val="006948D2"/>
    <w:rsid w:val="006A40EF"/>
    <w:rsid w:val="006A53D9"/>
    <w:rsid w:val="006B3AB3"/>
    <w:rsid w:val="006C45CD"/>
    <w:rsid w:val="006D5471"/>
    <w:rsid w:val="006E52C6"/>
    <w:rsid w:val="006F46D0"/>
    <w:rsid w:val="006F5322"/>
    <w:rsid w:val="0071272F"/>
    <w:rsid w:val="00712FC5"/>
    <w:rsid w:val="007233FA"/>
    <w:rsid w:val="007275E7"/>
    <w:rsid w:val="0073151C"/>
    <w:rsid w:val="00736A70"/>
    <w:rsid w:val="00746885"/>
    <w:rsid w:val="0074793E"/>
    <w:rsid w:val="00781944"/>
    <w:rsid w:val="0078218C"/>
    <w:rsid w:val="0079063A"/>
    <w:rsid w:val="007912D6"/>
    <w:rsid w:val="0079578F"/>
    <w:rsid w:val="007D136D"/>
    <w:rsid w:val="007F0FA8"/>
    <w:rsid w:val="007F4029"/>
    <w:rsid w:val="0080044D"/>
    <w:rsid w:val="0080418E"/>
    <w:rsid w:val="0081168B"/>
    <w:rsid w:val="0082201C"/>
    <w:rsid w:val="00827C02"/>
    <w:rsid w:val="00853375"/>
    <w:rsid w:val="0085648D"/>
    <w:rsid w:val="00856945"/>
    <w:rsid w:val="00861F8C"/>
    <w:rsid w:val="008660A0"/>
    <w:rsid w:val="0086753F"/>
    <w:rsid w:val="00870D66"/>
    <w:rsid w:val="0089329B"/>
    <w:rsid w:val="0089528F"/>
    <w:rsid w:val="00895D18"/>
    <w:rsid w:val="00896049"/>
    <w:rsid w:val="008C04CF"/>
    <w:rsid w:val="008E0832"/>
    <w:rsid w:val="008F01CE"/>
    <w:rsid w:val="00900947"/>
    <w:rsid w:val="009351CB"/>
    <w:rsid w:val="00951332"/>
    <w:rsid w:val="00962720"/>
    <w:rsid w:val="0096664C"/>
    <w:rsid w:val="009822C0"/>
    <w:rsid w:val="009904A3"/>
    <w:rsid w:val="00991D13"/>
    <w:rsid w:val="00993194"/>
    <w:rsid w:val="009961E4"/>
    <w:rsid w:val="009B34D6"/>
    <w:rsid w:val="009C58C7"/>
    <w:rsid w:val="009D120E"/>
    <w:rsid w:val="009D4760"/>
    <w:rsid w:val="009E61B7"/>
    <w:rsid w:val="009F337C"/>
    <w:rsid w:val="009F409F"/>
    <w:rsid w:val="009F4EF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21AF"/>
    <w:rsid w:val="00AB3DE1"/>
    <w:rsid w:val="00AD0D19"/>
    <w:rsid w:val="00AE50D1"/>
    <w:rsid w:val="00B04FA5"/>
    <w:rsid w:val="00B13A26"/>
    <w:rsid w:val="00B2571F"/>
    <w:rsid w:val="00B27C40"/>
    <w:rsid w:val="00B33715"/>
    <w:rsid w:val="00B55930"/>
    <w:rsid w:val="00B56963"/>
    <w:rsid w:val="00B7729A"/>
    <w:rsid w:val="00BA1FEF"/>
    <w:rsid w:val="00BA2C31"/>
    <w:rsid w:val="00BA4F4D"/>
    <w:rsid w:val="00BC0769"/>
    <w:rsid w:val="00BC4E69"/>
    <w:rsid w:val="00BD143A"/>
    <w:rsid w:val="00BD1832"/>
    <w:rsid w:val="00BE376D"/>
    <w:rsid w:val="00BE6E7B"/>
    <w:rsid w:val="00BF4F08"/>
    <w:rsid w:val="00C00302"/>
    <w:rsid w:val="00C063DB"/>
    <w:rsid w:val="00C23A95"/>
    <w:rsid w:val="00C268BF"/>
    <w:rsid w:val="00C32710"/>
    <w:rsid w:val="00C36D74"/>
    <w:rsid w:val="00C40CA7"/>
    <w:rsid w:val="00C54A52"/>
    <w:rsid w:val="00C60BF5"/>
    <w:rsid w:val="00C7069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4202A"/>
    <w:rsid w:val="00D430F1"/>
    <w:rsid w:val="00D43828"/>
    <w:rsid w:val="00D45087"/>
    <w:rsid w:val="00D47A79"/>
    <w:rsid w:val="00D66E64"/>
    <w:rsid w:val="00D71DC7"/>
    <w:rsid w:val="00D74A7A"/>
    <w:rsid w:val="00D835ED"/>
    <w:rsid w:val="00D94AEF"/>
    <w:rsid w:val="00D97691"/>
    <w:rsid w:val="00DA3A1A"/>
    <w:rsid w:val="00DA559A"/>
    <w:rsid w:val="00DA6BF2"/>
    <w:rsid w:val="00DA71C1"/>
    <w:rsid w:val="00DB6D5E"/>
    <w:rsid w:val="00DD5D91"/>
    <w:rsid w:val="00DD7314"/>
    <w:rsid w:val="00DE4A88"/>
    <w:rsid w:val="00DF5C9E"/>
    <w:rsid w:val="00E034A5"/>
    <w:rsid w:val="00E122EB"/>
    <w:rsid w:val="00E129A4"/>
    <w:rsid w:val="00E15114"/>
    <w:rsid w:val="00E21503"/>
    <w:rsid w:val="00E35BE4"/>
    <w:rsid w:val="00E505B1"/>
    <w:rsid w:val="00E57099"/>
    <w:rsid w:val="00E578D3"/>
    <w:rsid w:val="00E62D07"/>
    <w:rsid w:val="00E768B1"/>
    <w:rsid w:val="00E85FC7"/>
    <w:rsid w:val="00E8651E"/>
    <w:rsid w:val="00E877A2"/>
    <w:rsid w:val="00E91B2C"/>
    <w:rsid w:val="00E9702D"/>
    <w:rsid w:val="00EA4EA2"/>
    <w:rsid w:val="00EA52F6"/>
    <w:rsid w:val="00EA6329"/>
    <w:rsid w:val="00EC6440"/>
    <w:rsid w:val="00ED02C3"/>
    <w:rsid w:val="00ED45A9"/>
    <w:rsid w:val="00EF09F8"/>
    <w:rsid w:val="00F020B8"/>
    <w:rsid w:val="00F048E6"/>
    <w:rsid w:val="00F20147"/>
    <w:rsid w:val="00F33F88"/>
    <w:rsid w:val="00F422A6"/>
    <w:rsid w:val="00F453E1"/>
    <w:rsid w:val="00F54EBB"/>
    <w:rsid w:val="00F5517D"/>
    <w:rsid w:val="00F60D8B"/>
    <w:rsid w:val="00F729F5"/>
    <w:rsid w:val="00FA0A18"/>
    <w:rsid w:val="00FA0FA9"/>
    <w:rsid w:val="00FA6B4C"/>
    <w:rsid w:val="00FB06E5"/>
    <w:rsid w:val="00FB4A3D"/>
    <w:rsid w:val="00FC34DE"/>
    <w:rsid w:val="00FC3D33"/>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9509</TotalTime>
  <Pages>53</Pages>
  <Words>12449</Words>
  <Characters>70963</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123</cp:revision>
  <cp:lastPrinted>2019-05-21T21:50:00Z</cp:lastPrinted>
  <dcterms:created xsi:type="dcterms:W3CDTF">2019-04-30T03:45:00Z</dcterms:created>
  <dcterms:modified xsi:type="dcterms:W3CDTF">2019-06-15T05:50:00Z</dcterms:modified>
</cp:coreProperties>
</file>